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481F8" w14:textId="5AD18EFD" w:rsidR="00AB5F74" w:rsidRPr="00AB5F74" w:rsidRDefault="00AB5F74" w:rsidP="00AB5F74">
      <w:pPr>
        <w:autoSpaceDE w:val="0"/>
        <w:autoSpaceDN w:val="0"/>
        <w:adjustRightInd w:val="0"/>
        <w:spacing w:after="0" w:line="240" w:lineRule="auto"/>
        <w:rPr>
          <w:rFonts w:ascii="Century Gothic" w:hAnsi="Century Gothic"/>
          <w:sz w:val="18"/>
          <w:szCs w:val="18"/>
          <w:lang w:val="nl-BE"/>
        </w:rPr>
      </w:pPr>
      <w:r w:rsidRPr="00AB5F74">
        <w:rPr>
          <w:rFonts w:ascii="Century Gothic" w:hAnsi="Century Gothic"/>
          <w:sz w:val="18"/>
          <w:szCs w:val="18"/>
          <w:lang w:val="nl-BE"/>
        </w:rPr>
        <w:t>CAO 16 december 2019</w:t>
      </w:r>
    </w:p>
    <w:p w14:paraId="180B0A12" w14:textId="6C668A97" w:rsidR="00AB5F74" w:rsidRPr="00AB5F74" w:rsidRDefault="00AB5F74" w:rsidP="00AB5F74">
      <w:pPr>
        <w:autoSpaceDE w:val="0"/>
        <w:autoSpaceDN w:val="0"/>
        <w:adjustRightInd w:val="0"/>
        <w:spacing w:after="0" w:line="240" w:lineRule="auto"/>
        <w:rPr>
          <w:rFonts w:ascii="Century Gothic" w:hAnsi="Century Gothic"/>
          <w:sz w:val="18"/>
          <w:szCs w:val="18"/>
          <w:lang w:val="nl-BE"/>
        </w:rPr>
      </w:pPr>
      <w:r w:rsidRPr="00AB5F74">
        <w:rPr>
          <w:rFonts w:ascii="Century Gothic" w:hAnsi="Century Gothic"/>
          <w:sz w:val="18"/>
          <w:szCs w:val="18"/>
          <w:lang w:val="nl-BE"/>
        </w:rPr>
        <w:t>Neergelegd op 23 december 2019, geregistreerd op 5 februari 2020 onder nr. 156847/CO3290100</w:t>
      </w:r>
    </w:p>
    <w:p w14:paraId="7A8E1B7E" w14:textId="13B0AC73" w:rsidR="00AB5F74" w:rsidRPr="00AB5F74" w:rsidRDefault="00AB5F74" w:rsidP="00AB5F74">
      <w:pPr>
        <w:autoSpaceDE w:val="0"/>
        <w:autoSpaceDN w:val="0"/>
        <w:adjustRightInd w:val="0"/>
        <w:spacing w:after="0" w:line="240" w:lineRule="auto"/>
        <w:rPr>
          <w:rFonts w:ascii="Century Gothic" w:hAnsi="Century Gothic"/>
          <w:sz w:val="18"/>
          <w:szCs w:val="18"/>
          <w:lang w:val="nl-BE"/>
        </w:rPr>
      </w:pPr>
      <w:r w:rsidRPr="00AB5F74">
        <w:rPr>
          <w:rFonts w:ascii="Century Gothic" w:hAnsi="Century Gothic"/>
          <w:sz w:val="18"/>
          <w:szCs w:val="18"/>
          <w:lang w:val="nl-BE"/>
        </w:rPr>
        <w:t xml:space="preserve">KB </w:t>
      </w:r>
      <w:r w:rsidR="00997139">
        <w:rPr>
          <w:rFonts w:ascii="Century Gothic" w:hAnsi="Century Gothic"/>
          <w:sz w:val="18"/>
          <w:szCs w:val="18"/>
          <w:lang w:val="nl-BE"/>
        </w:rPr>
        <w:t>...</w:t>
      </w:r>
    </w:p>
    <w:p w14:paraId="38C1B180" w14:textId="474BBB1B" w:rsidR="00AB5F74" w:rsidRPr="00AB5F74" w:rsidRDefault="00AB5F74" w:rsidP="00AB5F74">
      <w:pPr>
        <w:autoSpaceDE w:val="0"/>
        <w:autoSpaceDN w:val="0"/>
        <w:adjustRightInd w:val="0"/>
        <w:spacing w:after="0" w:line="240" w:lineRule="auto"/>
        <w:rPr>
          <w:rFonts w:ascii="Century Gothic" w:hAnsi="Century Gothic"/>
          <w:sz w:val="18"/>
          <w:szCs w:val="18"/>
          <w:lang w:val="nl-BE"/>
        </w:rPr>
      </w:pPr>
      <w:r w:rsidRPr="00AB5F74">
        <w:rPr>
          <w:rFonts w:ascii="Century Gothic" w:hAnsi="Century Gothic"/>
          <w:sz w:val="18"/>
          <w:szCs w:val="18"/>
          <w:lang w:val="nl-BE"/>
        </w:rPr>
        <w:t xml:space="preserve">BS </w:t>
      </w:r>
      <w:r w:rsidR="00997139">
        <w:rPr>
          <w:rFonts w:ascii="Century Gothic" w:hAnsi="Century Gothic"/>
          <w:sz w:val="18"/>
          <w:szCs w:val="18"/>
          <w:lang w:val="nl-BE"/>
        </w:rPr>
        <w:t>...</w:t>
      </w:r>
      <w:bookmarkStart w:id="0" w:name="_GoBack"/>
      <w:bookmarkEnd w:id="0"/>
    </w:p>
    <w:p w14:paraId="79C357BC" w14:textId="0EF65B76" w:rsidR="00AB5F74" w:rsidRPr="00AB5F74" w:rsidRDefault="00516CE5" w:rsidP="00AB5F74">
      <w:pPr>
        <w:autoSpaceDE w:val="0"/>
        <w:autoSpaceDN w:val="0"/>
        <w:adjustRightInd w:val="0"/>
        <w:spacing w:after="0" w:line="240" w:lineRule="auto"/>
        <w:rPr>
          <w:rFonts w:ascii="Century Gothic" w:hAnsi="Century Gothic"/>
          <w:sz w:val="18"/>
          <w:szCs w:val="18"/>
          <w:lang w:val="nl-BE"/>
        </w:rPr>
      </w:pPr>
      <w:r>
        <w:rPr>
          <w:rFonts w:ascii="Century Gothic" w:hAnsi="Century Gothic"/>
          <w:sz w:val="18"/>
          <w:szCs w:val="18"/>
          <w:lang w:val="nl-BE"/>
        </w:rPr>
        <w:t>Inwerkingtreding: 16</w:t>
      </w:r>
      <w:r w:rsidR="00AB5F74" w:rsidRPr="00AB5F74">
        <w:rPr>
          <w:rFonts w:ascii="Century Gothic" w:hAnsi="Century Gothic"/>
          <w:sz w:val="18"/>
          <w:szCs w:val="18"/>
          <w:lang w:val="nl-BE"/>
        </w:rPr>
        <w:t xml:space="preserve"> december 2019</w:t>
      </w:r>
    </w:p>
    <w:p w14:paraId="7B2D9924" w14:textId="77777777" w:rsidR="00AB5F74" w:rsidRDefault="00AB5F74" w:rsidP="00E23697">
      <w:pPr>
        <w:spacing w:after="0"/>
        <w:rPr>
          <w:rFonts w:ascii="Century Gothic" w:hAnsi="Century Gothic"/>
          <w:sz w:val="20"/>
          <w:szCs w:val="20"/>
          <w:lang w:val="nl-BE"/>
        </w:rPr>
      </w:pPr>
    </w:p>
    <w:p w14:paraId="6E46E7D8" w14:textId="037D5B8B" w:rsidR="00E23697" w:rsidRPr="00A600C6" w:rsidRDefault="004D7062" w:rsidP="00E23697">
      <w:pPr>
        <w:spacing w:after="0"/>
        <w:rPr>
          <w:rFonts w:ascii="Century Gothic" w:hAnsi="Century Gothic"/>
          <w:sz w:val="20"/>
          <w:szCs w:val="20"/>
          <w:lang w:val="nl-NL"/>
        </w:rPr>
      </w:pPr>
      <w:r w:rsidRPr="004D7062">
        <w:rPr>
          <w:rFonts w:ascii="Century Gothic" w:hAnsi="Century Gothic"/>
          <w:sz w:val="20"/>
          <w:szCs w:val="20"/>
          <w:lang w:val="nl-BE"/>
        </w:rPr>
        <w:t>PARITAIR SUBCOMITE VOOR DE SOCIO-CULTURELE SECTOR VAN DE VLAAMSE GEMEENSCHAP (329.01)</w:t>
      </w:r>
    </w:p>
    <w:p w14:paraId="31393614" w14:textId="77777777" w:rsidR="000E5DD1" w:rsidRPr="00A600C6" w:rsidRDefault="000E5DD1" w:rsidP="000E5DD1">
      <w:pPr>
        <w:spacing w:after="0"/>
        <w:rPr>
          <w:rFonts w:ascii="Century Gothic" w:hAnsi="Century Gothic"/>
          <w:sz w:val="16"/>
          <w:szCs w:val="16"/>
          <w:lang w:val="nl-BE"/>
        </w:rPr>
      </w:pPr>
    </w:p>
    <w:p w14:paraId="7ADC6F02" w14:textId="55837D5A" w:rsidR="000E5DD1" w:rsidRPr="00A600C6" w:rsidRDefault="000E5DD1" w:rsidP="003853CA">
      <w:pPr>
        <w:pBdr>
          <w:top w:val="single" w:sz="4" w:space="1" w:color="auto"/>
          <w:left w:val="single" w:sz="4" w:space="4" w:color="auto"/>
          <w:bottom w:val="single" w:sz="4" w:space="0" w:color="auto"/>
          <w:right w:val="single" w:sz="4" w:space="4" w:color="auto"/>
        </w:pBdr>
        <w:spacing w:line="240" w:lineRule="auto"/>
        <w:rPr>
          <w:rFonts w:ascii="Century Gothic" w:hAnsi="Century Gothic"/>
          <w:lang w:val="nl-BE"/>
        </w:rPr>
      </w:pPr>
      <w:r w:rsidRPr="00A600C6">
        <w:rPr>
          <w:rFonts w:ascii="Century Gothic" w:hAnsi="Century Gothic"/>
          <w:lang w:val="nl-BE"/>
        </w:rPr>
        <w:t>Collect</w:t>
      </w:r>
      <w:r w:rsidR="00A600C6" w:rsidRPr="00A600C6">
        <w:rPr>
          <w:rFonts w:ascii="Century Gothic" w:hAnsi="Century Gothic"/>
          <w:lang w:val="nl-BE"/>
        </w:rPr>
        <w:t>ieve arbeidsovereenkomst van</w:t>
      </w:r>
      <w:r w:rsidR="00621846">
        <w:rPr>
          <w:rFonts w:ascii="Century Gothic" w:hAnsi="Century Gothic"/>
          <w:lang w:val="nl-BE"/>
        </w:rPr>
        <w:t xml:space="preserve"> 16</w:t>
      </w:r>
      <w:r w:rsidR="007E66DF">
        <w:rPr>
          <w:rFonts w:ascii="Century Gothic" w:hAnsi="Century Gothic"/>
          <w:lang w:val="nl-BE"/>
        </w:rPr>
        <w:t xml:space="preserve"> december 2019</w:t>
      </w:r>
      <w:r w:rsidR="00A600C6" w:rsidRPr="00A600C6">
        <w:rPr>
          <w:rFonts w:ascii="Century Gothic" w:hAnsi="Century Gothic"/>
          <w:lang w:val="nl-BE"/>
        </w:rPr>
        <w:t xml:space="preserve"> </w:t>
      </w:r>
      <w:r w:rsidRPr="00A600C6">
        <w:rPr>
          <w:rFonts w:ascii="Century Gothic" w:hAnsi="Century Gothic"/>
          <w:lang w:val="nl-BE"/>
        </w:rPr>
        <w:t xml:space="preserve"> </w:t>
      </w:r>
      <w:r w:rsidR="003853CA" w:rsidRPr="00A600C6">
        <w:rPr>
          <w:rFonts w:ascii="Century Gothic" w:hAnsi="Century Gothic"/>
          <w:lang w:val="nl-BE"/>
        </w:rPr>
        <w:t>betreffende het</w:t>
      </w:r>
      <w:r w:rsidRPr="00A600C6">
        <w:rPr>
          <w:rFonts w:ascii="Century Gothic" w:hAnsi="Century Gothic"/>
          <w:lang w:val="nl-BE"/>
        </w:rPr>
        <w:t xml:space="preserve"> </w:t>
      </w:r>
      <w:r w:rsidR="003853CA" w:rsidRPr="00A600C6">
        <w:rPr>
          <w:rFonts w:ascii="Century Gothic" w:hAnsi="Century Gothic"/>
          <w:lang w:val="nl-BE"/>
        </w:rPr>
        <w:t>kaderakkoord voor het voorkomen en verminderen van stress, burn-out, agressie en andere psychosociale risico’s op het werk en ter bevordering van re-integratie en progressieve werkhervatting na ziekte of ongeval</w:t>
      </w:r>
    </w:p>
    <w:p w14:paraId="759BA672" w14:textId="77777777" w:rsidR="00562D47" w:rsidRPr="00A600C6" w:rsidRDefault="00562D47" w:rsidP="00562D47">
      <w:pPr>
        <w:spacing w:after="0"/>
        <w:jc w:val="center"/>
        <w:rPr>
          <w:rFonts w:ascii="Century Gothic" w:hAnsi="Century Gothic"/>
          <w:sz w:val="20"/>
          <w:szCs w:val="20"/>
          <w:lang w:val="nl-NL"/>
        </w:rPr>
      </w:pPr>
      <w:r w:rsidRPr="00A600C6">
        <w:rPr>
          <w:rFonts w:ascii="Century Gothic" w:hAnsi="Century Gothic"/>
          <w:sz w:val="20"/>
          <w:szCs w:val="20"/>
          <w:lang w:val="nl-NL"/>
        </w:rPr>
        <w:t>HOOFDSTUK 1: Toepassingsgebied</w:t>
      </w:r>
    </w:p>
    <w:p w14:paraId="6F4D5407" w14:textId="77777777" w:rsidR="000E5DD1" w:rsidRPr="00A600C6" w:rsidRDefault="000E5DD1" w:rsidP="000E5DD1">
      <w:pPr>
        <w:spacing w:after="0"/>
        <w:rPr>
          <w:rFonts w:ascii="Century Gothic" w:hAnsi="Century Gothic"/>
          <w:sz w:val="20"/>
          <w:szCs w:val="20"/>
          <w:lang w:val="nl-NL"/>
        </w:rPr>
      </w:pPr>
      <w:r w:rsidRPr="00A600C6">
        <w:rPr>
          <w:rFonts w:ascii="Century Gothic" w:hAnsi="Century Gothic"/>
          <w:sz w:val="20"/>
          <w:szCs w:val="20"/>
          <w:lang w:val="nl-NL"/>
        </w:rPr>
        <w:t>Artikel 1</w:t>
      </w:r>
    </w:p>
    <w:p w14:paraId="049D910D" w14:textId="2A1E5E71" w:rsidR="000E5DD1" w:rsidRPr="00A600C6" w:rsidRDefault="000E5DD1" w:rsidP="00073ADE">
      <w:pPr>
        <w:spacing w:after="0"/>
        <w:rPr>
          <w:rFonts w:ascii="Century Gothic" w:hAnsi="Century Gothic"/>
          <w:sz w:val="20"/>
          <w:szCs w:val="20"/>
          <w:lang w:val="nl-NL"/>
        </w:rPr>
      </w:pPr>
      <w:r w:rsidRPr="00A600C6">
        <w:rPr>
          <w:rFonts w:ascii="Century Gothic" w:hAnsi="Century Gothic"/>
          <w:sz w:val="20"/>
          <w:szCs w:val="20"/>
          <w:lang w:val="nl-NL"/>
        </w:rPr>
        <w:t xml:space="preserve">Deze collectieve arbeidsovereenkomst is van toepassing op de werkgevers en de werknemers van de inrichtingen en diensten welke ressorteren onder het </w:t>
      </w:r>
      <w:r w:rsidR="004D7062" w:rsidRPr="004D7062">
        <w:rPr>
          <w:rFonts w:ascii="Century Gothic" w:hAnsi="Century Gothic"/>
          <w:sz w:val="20"/>
          <w:szCs w:val="20"/>
          <w:lang w:val="nl-NL"/>
        </w:rPr>
        <w:t>Paritair Subcomité voor de socio-culturele sector van de Vlaamse Gemeenschap</w:t>
      </w:r>
      <w:r w:rsidRPr="00A600C6">
        <w:rPr>
          <w:rFonts w:ascii="Century Gothic" w:hAnsi="Century Gothic"/>
          <w:sz w:val="20"/>
          <w:szCs w:val="20"/>
          <w:lang w:val="nl-NL"/>
        </w:rPr>
        <w:t>.</w:t>
      </w:r>
    </w:p>
    <w:p w14:paraId="2BD2409E" w14:textId="77777777" w:rsidR="000E5DD1" w:rsidRPr="00A600C6" w:rsidRDefault="000E5DD1" w:rsidP="00073ADE">
      <w:pPr>
        <w:spacing w:after="0"/>
        <w:rPr>
          <w:rFonts w:ascii="Century Gothic" w:hAnsi="Century Gothic"/>
          <w:sz w:val="20"/>
          <w:szCs w:val="20"/>
          <w:lang w:val="nl-NL"/>
        </w:rPr>
      </w:pPr>
      <w:r w:rsidRPr="00A600C6">
        <w:rPr>
          <w:rFonts w:ascii="Century Gothic" w:hAnsi="Century Gothic"/>
          <w:sz w:val="20"/>
          <w:szCs w:val="20"/>
          <w:lang w:val="nl-NL"/>
        </w:rPr>
        <w:t>Onder werknemers wordt verstaan het mannelijk en vrouwelijk werklieden- en bediendepersoneel.</w:t>
      </w:r>
    </w:p>
    <w:p w14:paraId="3C05BD46" w14:textId="77777777" w:rsidR="00073ADE" w:rsidRPr="00A600C6" w:rsidRDefault="00073ADE" w:rsidP="000E5DD1">
      <w:pPr>
        <w:spacing w:after="0"/>
        <w:rPr>
          <w:rFonts w:ascii="Century Gothic" w:hAnsi="Century Gothic"/>
          <w:sz w:val="20"/>
          <w:szCs w:val="20"/>
          <w:lang w:val="nl-NL"/>
        </w:rPr>
      </w:pPr>
    </w:p>
    <w:p w14:paraId="433AF208" w14:textId="77777777" w:rsidR="000E5DD1" w:rsidRPr="00A600C6" w:rsidRDefault="000E5DD1" w:rsidP="000E5DD1">
      <w:pPr>
        <w:spacing w:after="0"/>
        <w:rPr>
          <w:rFonts w:ascii="Century Gothic" w:hAnsi="Century Gothic"/>
          <w:sz w:val="20"/>
          <w:szCs w:val="20"/>
          <w:lang w:val="nl-NL"/>
        </w:rPr>
      </w:pPr>
      <w:r w:rsidRPr="00A600C6">
        <w:rPr>
          <w:rFonts w:ascii="Century Gothic" w:hAnsi="Century Gothic"/>
          <w:sz w:val="20"/>
          <w:szCs w:val="20"/>
          <w:lang w:val="nl-NL"/>
        </w:rPr>
        <w:t>Artikel 2</w:t>
      </w:r>
    </w:p>
    <w:p w14:paraId="4764014F" w14:textId="77777777" w:rsidR="0048634B" w:rsidRPr="00A600C6" w:rsidRDefault="000E5DD1" w:rsidP="00073ADE">
      <w:pPr>
        <w:spacing w:after="0"/>
        <w:rPr>
          <w:rFonts w:ascii="Century Gothic" w:hAnsi="Century Gothic"/>
          <w:sz w:val="20"/>
          <w:szCs w:val="20"/>
          <w:lang w:val="nl-BE"/>
        </w:rPr>
      </w:pPr>
      <w:r w:rsidRPr="00A600C6">
        <w:rPr>
          <w:rFonts w:ascii="Century Gothic" w:hAnsi="Century Gothic"/>
          <w:sz w:val="20"/>
          <w:szCs w:val="20"/>
          <w:lang w:val="nl-BE"/>
        </w:rPr>
        <w:t xml:space="preserve">Deze collectieve arbeidsovereenkomst is gesloten in uitvoering van </w:t>
      </w:r>
      <w:r w:rsidR="0048634B" w:rsidRPr="00A600C6">
        <w:rPr>
          <w:rFonts w:ascii="Century Gothic" w:hAnsi="Century Gothic"/>
          <w:sz w:val="20"/>
          <w:szCs w:val="20"/>
          <w:lang w:val="nl-BE"/>
        </w:rPr>
        <w:t>hoofdstuk 2.5.1., 2.5.2</w:t>
      </w:r>
      <w:r w:rsidR="00686756" w:rsidRPr="00A600C6">
        <w:rPr>
          <w:rFonts w:ascii="Century Gothic" w:hAnsi="Century Gothic"/>
          <w:sz w:val="20"/>
          <w:szCs w:val="20"/>
          <w:lang w:val="nl-BE"/>
        </w:rPr>
        <w:t>.A.</w:t>
      </w:r>
      <w:r w:rsidR="0048634B" w:rsidRPr="00A600C6">
        <w:rPr>
          <w:rFonts w:ascii="Century Gothic" w:hAnsi="Century Gothic"/>
          <w:sz w:val="20"/>
          <w:szCs w:val="20"/>
          <w:lang w:val="nl-BE"/>
        </w:rPr>
        <w:t xml:space="preserve"> en bijlage I van </w:t>
      </w:r>
      <w:r w:rsidRPr="00A600C6">
        <w:rPr>
          <w:rFonts w:ascii="Century Gothic" w:hAnsi="Century Gothic"/>
          <w:sz w:val="20"/>
          <w:szCs w:val="20"/>
          <w:lang w:val="nl-BE"/>
        </w:rPr>
        <w:t>het Vlaams Intersectoraal Akk</w:t>
      </w:r>
      <w:r w:rsidR="0048634B" w:rsidRPr="00A600C6">
        <w:rPr>
          <w:rFonts w:ascii="Century Gothic" w:hAnsi="Century Gothic"/>
          <w:sz w:val="20"/>
          <w:szCs w:val="20"/>
          <w:lang w:val="nl-BE"/>
        </w:rPr>
        <w:t>oord (‘VIA 5’) van 8 juni 2018.</w:t>
      </w:r>
    </w:p>
    <w:p w14:paraId="62931CD2" w14:textId="77777777" w:rsidR="0048634B" w:rsidRPr="00A600C6" w:rsidRDefault="0048634B" w:rsidP="00073ADE">
      <w:pPr>
        <w:spacing w:after="0"/>
        <w:rPr>
          <w:rFonts w:ascii="Century Gothic" w:hAnsi="Century Gothic"/>
          <w:sz w:val="20"/>
          <w:szCs w:val="20"/>
          <w:lang w:val="nl-BE"/>
        </w:rPr>
      </w:pPr>
    </w:p>
    <w:p w14:paraId="40C59E6C" w14:textId="77777777" w:rsidR="000E5DD1" w:rsidRPr="00A600C6" w:rsidRDefault="00562D47" w:rsidP="00A600C6">
      <w:pPr>
        <w:spacing w:after="0"/>
        <w:jc w:val="center"/>
        <w:rPr>
          <w:rFonts w:ascii="Century Gothic" w:hAnsi="Century Gothic"/>
          <w:sz w:val="20"/>
          <w:szCs w:val="20"/>
          <w:lang w:val="nl-BE"/>
        </w:rPr>
      </w:pPr>
      <w:r w:rsidRPr="00A600C6">
        <w:rPr>
          <w:rFonts w:ascii="Century Gothic" w:hAnsi="Century Gothic"/>
          <w:sz w:val="20"/>
          <w:szCs w:val="20"/>
          <w:lang w:val="nl-BE"/>
        </w:rPr>
        <w:t>HOOFDSTUK 2</w:t>
      </w:r>
      <w:r w:rsidR="0048634B" w:rsidRPr="00A600C6">
        <w:rPr>
          <w:rFonts w:ascii="Century Gothic" w:hAnsi="Century Gothic"/>
          <w:sz w:val="20"/>
          <w:szCs w:val="20"/>
          <w:lang w:val="nl-BE"/>
        </w:rPr>
        <w:t xml:space="preserve">: </w:t>
      </w:r>
      <w:r w:rsidR="000E5DD1" w:rsidRPr="00A600C6">
        <w:rPr>
          <w:rFonts w:ascii="Century Gothic" w:hAnsi="Century Gothic"/>
          <w:sz w:val="20"/>
          <w:szCs w:val="20"/>
          <w:lang w:val="nl-BE"/>
        </w:rPr>
        <w:t>Algemeen intersectoraal kaderakkoord voor het voorkomen en verminderen van stress, burn-out, agressie en andere psychosociale risico’s op het werk en ter bevordering van re-integratie en progressieve werkhervatting na ziekte of ongeval’.</w:t>
      </w:r>
    </w:p>
    <w:p w14:paraId="16457D7C" w14:textId="4A8A1D0A" w:rsidR="00854B6C" w:rsidRPr="00A600C6" w:rsidRDefault="00854B6C" w:rsidP="0048634B">
      <w:pPr>
        <w:spacing w:after="0"/>
        <w:jc w:val="center"/>
        <w:rPr>
          <w:rFonts w:ascii="Century Gothic" w:hAnsi="Century Gothic"/>
          <w:sz w:val="20"/>
          <w:szCs w:val="20"/>
          <w:lang w:val="nl-BE"/>
        </w:rPr>
      </w:pPr>
    </w:p>
    <w:p w14:paraId="08D349F3" w14:textId="77777777" w:rsidR="00D57CE0" w:rsidRPr="00A600C6" w:rsidRDefault="00D57CE0" w:rsidP="00D57CE0">
      <w:pPr>
        <w:rPr>
          <w:rFonts w:ascii="Century Gothic" w:hAnsi="Century Gothic"/>
          <w:sz w:val="20"/>
          <w:szCs w:val="20"/>
          <w:lang w:val="nl-BE"/>
        </w:rPr>
      </w:pPr>
      <w:r w:rsidRPr="00A600C6">
        <w:rPr>
          <w:rFonts w:ascii="Century Gothic" w:hAnsi="Century Gothic"/>
          <w:sz w:val="20"/>
          <w:szCs w:val="20"/>
          <w:lang w:val="nl-BE"/>
        </w:rPr>
        <w:t>Artikel 3: Doelstelling</w:t>
      </w:r>
    </w:p>
    <w:p w14:paraId="2CC8A4ED" w14:textId="77777777" w:rsidR="00D57CE0" w:rsidRPr="00A600C6" w:rsidRDefault="00D57CE0" w:rsidP="00D57CE0">
      <w:pPr>
        <w:rPr>
          <w:rFonts w:ascii="Century Gothic" w:hAnsi="Century Gothic"/>
          <w:sz w:val="20"/>
          <w:szCs w:val="20"/>
          <w:lang w:val="nl-BE"/>
        </w:rPr>
      </w:pPr>
      <w:r w:rsidRPr="00A600C6">
        <w:rPr>
          <w:rFonts w:ascii="Century Gothic" w:hAnsi="Century Gothic"/>
          <w:sz w:val="20"/>
          <w:szCs w:val="20"/>
          <w:lang w:val="nl-BE"/>
        </w:rPr>
        <w:t>Deze collectieve arbeidsovereenkomst beoogt een algemeen kader te scheppen dat een aantal principes aanreikt voor het uitwerken van een beleid op 2 vlakken:</w:t>
      </w:r>
    </w:p>
    <w:p w14:paraId="286BF409" w14:textId="77777777" w:rsidR="00D57CE0" w:rsidRPr="00A600C6" w:rsidRDefault="00D57CE0" w:rsidP="00D57CE0">
      <w:pPr>
        <w:rPr>
          <w:rFonts w:ascii="Century Gothic" w:hAnsi="Century Gothic"/>
          <w:sz w:val="20"/>
          <w:szCs w:val="20"/>
          <w:lang w:val="nl-BE"/>
        </w:rPr>
      </w:pPr>
      <w:r w:rsidRPr="00A600C6">
        <w:rPr>
          <w:rFonts w:ascii="Century Gothic" w:hAnsi="Century Gothic"/>
          <w:sz w:val="20"/>
          <w:szCs w:val="20"/>
          <w:lang w:val="nl-BE"/>
        </w:rPr>
        <w:t>- Enerzijds het voorkomen en verminderen van psychosociale risico’s op het werk, waaronder stress en agressie, zodat burn-out en langdurige afwezigheid zoveel mogelijk kunnen worden vermeden en mensen langer in goede en gezonde omstandigheden kunnen werken;</w:t>
      </w:r>
    </w:p>
    <w:p w14:paraId="507DD23D" w14:textId="77777777" w:rsidR="00D57CE0" w:rsidRPr="00A600C6" w:rsidRDefault="00D57CE0" w:rsidP="00D57CE0">
      <w:pPr>
        <w:rPr>
          <w:rFonts w:ascii="Century Gothic" w:hAnsi="Century Gothic"/>
          <w:sz w:val="20"/>
          <w:szCs w:val="20"/>
          <w:lang w:val="nl-BE"/>
        </w:rPr>
      </w:pPr>
      <w:r w:rsidRPr="00A600C6">
        <w:rPr>
          <w:rFonts w:ascii="Century Gothic" w:hAnsi="Century Gothic"/>
          <w:sz w:val="20"/>
          <w:szCs w:val="20"/>
          <w:lang w:val="nl-BE"/>
        </w:rPr>
        <w:t>- Anderzijds het bevorderen van re-integratie en de mogelijkheden voor progressieve werkhervatting na ziekte of ongeval, zodat mensen die toch uitvallen, zo snel mogelijk terug aan de slag kunnen in werk op maat.</w:t>
      </w:r>
    </w:p>
    <w:p w14:paraId="4F5BF630" w14:textId="1C82D314" w:rsidR="00D57CE0" w:rsidRPr="00A600C6" w:rsidRDefault="00D57CE0" w:rsidP="00D57CE0">
      <w:pPr>
        <w:rPr>
          <w:rFonts w:ascii="Century Gothic" w:hAnsi="Century Gothic"/>
          <w:sz w:val="20"/>
          <w:szCs w:val="20"/>
          <w:lang w:val="nl-BE"/>
        </w:rPr>
      </w:pPr>
      <w:r w:rsidRPr="00A600C6">
        <w:rPr>
          <w:rFonts w:ascii="Century Gothic" w:hAnsi="Century Gothic"/>
          <w:sz w:val="20"/>
          <w:szCs w:val="20"/>
          <w:lang w:val="nl-BE"/>
        </w:rPr>
        <w:t>Het doel is dat</w:t>
      </w:r>
      <w:r w:rsidR="0097003F" w:rsidRPr="00A600C6">
        <w:rPr>
          <w:rFonts w:ascii="Century Gothic" w:hAnsi="Century Gothic"/>
          <w:sz w:val="20"/>
          <w:szCs w:val="20"/>
          <w:lang w:val="nl-BE"/>
        </w:rPr>
        <w:t xml:space="preserve"> alle ondernemingen</w:t>
      </w:r>
      <w:r w:rsidRPr="00A600C6">
        <w:rPr>
          <w:rFonts w:ascii="Century Gothic" w:hAnsi="Century Gothic"/>
          <w:sz w:val="20"/>
          <w:szCs w:val="20"/>
          <w:lang w:val="nl-BE"/>
        </w:rPr>
        <w:t xml:space="preserve"> een eigen beleid op deze twee vlakken uitwerken. </w:t>
      </w:r>
      <w:r w:rsidR="0097003F" w:rsidRPr="00A600C6">
        <w:rPr>
          <w:rFonts w:ascii="Century Gothic" w:hAnsi="Century Gothic"/>
          <w:sz w:val="20"/>
          <w:szCs w:val="20"/>
          <w:lang w:val="nl-BE"/>
        </w:rPr>
        <w:t xml:space="preserve">Hierover worden in de ondernemingen gesprekken opgestart </w:t>
      </w:r>
      <w:r w:rsidR="0097003F" w:rsidRPr="007E66DF">
        <w:rPr>
          <w:rFonts w:ascii="Century Gothic" w:hAnsi="Century Gothic"/>
          <w:sz w:val="20"/>
          <w:szCs w:val="20"/>
          <w:lang w:val="nl-BE"/>
        </w:rPr>
        <w:t>tijdens de looptijd van VIA</w:t>
      </w:r>
      <w:r w:rsidR="001440C5" w:rsidRPr="007E66DF">
        <w:rPr>
          <w:rFonts w:ascii="Century Gothic" w:hAnsi="Century Gothic"/>
          <w:sz w:val="20"/>
          <w:szCs w:val="20"/>
          <w:lang w:val="nl-BE"/>
        </w:rPr>
        <w:t xml:space="preserve"> </w:t>
      </w:r>
      <w:r w:rsidR="00065C6E" w:rsidRPr="007E66DF">
        <w:rPr>
          <w:rFonts w:ascii="Century Gothic" w:hAnsi="Century Gothic"/>
          <w:sz w:val="20"/>
          <w:szCs w:val="20"/>
          <w:lang w:val="nl-BE"/>
        </w:rPr>
        <w:t>5</w:t>
      </w:r>
      <w:r w:rsidR="0097003F" w:rsidRPr="00A600C6">
        <w:rPr>
          <w:rFonts w:ascii="Century Gothic" w:hAnsi="Century Gothic"/>
          <w:sz w:val="20"/>
          <w:szCs w:val="20"/>
          <w:lang w:val="nl-BE"/>
        </w:rPr>
        <w:t xml:space="preserve">. </w:t>
      </w:r>
      <w:r w:rsidRPr="00A600C6">
        <w:rPr>
          <w:rFonts w:ascii="Century Gothic" w:hAnsi="Century Gothic"/>
          <w:sz w:val="20"/>
          <w:szCs w:val="20"/>
          <w:lang w:val="nl-BE"/>
        </w:rPr>
        <w:t>Hierbij gelden de principes van deze collectieve arbeidsovereenkomst als richtsnoeren. Indien op lokaal vlak reeds een beleid ter zake werd uitgewerkt, kan dit uiteraard geïntegreerd worden in het beleid dat uitgewerkt wordt in toepassing van deze collectieve arbeidsovereenkomst.</w:t>
      </w:r>
    </w:p>
    <w:p w14:paraId="7A753AF6" w14:textId="77777777" w:rsidR="00D57CE0" w:rsidRPr="00A600C6" w:rsidRDefault="00D57CE0" w:rsidP="00D57CE0">
      <w:pPr>
        <w:rPr>
          <w:rFonts w:ascii="Century Gothic" w:hAnsi="Century Gothic"/>
          <w:sz w:val="20"/>
          <w:szCs w:val="20"/>
          <w:lang w:val="nl-BE"/>
        </w:rPr>
      </w:pPr>
      <w:r w:rsidRPr="00A600C6">
        <w:rPr>
          <w:rFonts w:ascii="Century Gothic" w:hAnsi="Century Gothic"/>
          <w:sz w:val="20"/>
          <w:szCs w:val="20"/>
          <w:lang w:val="nl-BE"/>
        </w:rPr>
        <w:t>Artikel 4: Principes voor het uitwerken van een beleid inzake het voorkomen en verminderen van psychosociale risico’s op het werk en het bevorderen van re-integratie en de mogelijkheden voor progressieve werkhervatting</w:t>
      </w:r>
    </w:p>
    <w:p w14:paraId="7E63F1F7" w14:textId="382D7EF2" w:rsidR="00D57CE0" w:rsidRPr="00A600C6" w:rsidRDefault="00D57CE0" w:rsidP="00D57CE0">
      <w:pPr>
        <w:rPr>
          <w:rFonts w:ascii="Century Gothic" w:hAnsi="Century Gothic"/>
          <w:sz w:val="20"/>
          <w:szCs w:val="20"/>
          <w:lang w:val="nl-BE"/>
        </w:rPr>
      </w:pPr>
      <w:r w:rsidRPr="00A600C6">
        <w:rPr>
          <w:rFonts w:ascii="Century Gothic" w:hAnsi="Century Gothic"/>
          <w:sz w:val="20"/>
          <w:szCs w:val="20"/>
          <w:lang w:val="nl-BE"/>
        </w:rPr>
        <w:lastRenderedPageBreak/>
        <w:t>1. Respecteren van het wettelijk kader - Er bestaat een wettelijk kader in de Welzijnswet Werknemers van 4 augustus 1996 en de Codex Welzijn op het Werk</w:t>
      </w:r>
      <w:r w:rsidR="00642B80" w:rsidRPr="00A600C6">
        <w:rPr>
          <w:rFonts w:ascii="Century Gothic" w:hAnsi="Century Gothic"/>
          <w:sz w:val="20"/>
          <w:szCs w:val="20"/>
          <w:lang w:val="nl-BE"/>
        </w:rPr>
        <w:t xml:space="preserve"> </w:t>
      </w:r>
      <w:r w:rsidR="00A600C6">
        <w:rPr>
          <w:rFonts w:ascii="Century Gothic" w:hAnsi="Century Gothic"/>
          <w:sz w:val="20"/>
          <w:szCs w:val="20"/>
          <w:lang w:val="nl-BE"/>
        </w:rPr>
        <w:t>en in de collectieve arbeidsovereenkomst</w:t>
      </w:r>
      <w:r w:rsidR="00642B80" w:rsidRPr="00A600C6">
        <w:rPr>
          <w:rFonts w:ascii="Century Gothic" w:hAnsi="Century Gothic"/>
          <w:sz w:val="20"/>
          <w:szCs w:val="20"/>
          <w:lang w:val="nl-BE"/>
        </w:rPr>
        <w:t xml:space="preserve"> nr. 72 van 30 maart 1999 van de Nationale Arbeidsraad betreffende het beleid ter voorkoming van stress door het werk (K</w:t>
      </w:r>
      <w:r w:rsidR="00A600C6">
        <w:rPr>
          <w:rFonts w:ascii="Century Gothic" w:hAnsi="Century Gothic"/>
          <w:sz w:val="20"/>
          <w:szCs w:val="20"/>
          <w:lang w:val="nl-BE"/>
        </w:rPr>
        <w:t xml:space="preserve">oninklijk </w:t>
      </w:r>
      <w:r w:rsidR="00642B80" w:rsidRPr="00A600C6">
        <w:rPr>
          <w:rFonts w:ascii="Century Gothic" w:hAnsi="Century Gothic"/>
          <w:sz w:val="20"/>
          <w:szCs w:val="20"/>
          <w:lang w:val="nl-BE"/>
        </w:rPr>
        <w:t>B</w:t>
      </w:r>
      <w:r w:rsidR="00A600C6">
        <w:rPr>
          <w:rFonts w:ascii="Century Gothic" w:hAnsi="Century Gothic"/>
          <w:sz w:val="20"/>
          <w:szCs w:val="20"/>
          <w:lang w:val="nl-BE"/>
        </w:rPr>
        <w:t xml:space="preserve">esluit </w:t>
      </w:r>
      <w:r w:rsidR="00642B80" w:rsidRPr="00A600C6">
        <w:rPr>
          <w:rFonts w:ascii="Century Gothic" w:hAnsi="Century Gothic"/>
          <w:sz w:val="20"/>
          <w:szCs w:val="20"/>
          <w:lang w:val="nl-BE"/>
        </w:rPr>
        <w:t>van 21 juni 1999, B</w:t>
      </w:r>
      <w:r w:rsidR="00A600C6">
        <w:rPr>
          <w:rFonts w:ascii="Century Gothic" w:hAnsi="Century Gothic"/>
          <w:sz w:val="20"/>
          <w:szCs w:val="20"/>
          <w:lang w:val="nl-BE"/>
        </w:rPr>
        <w:t xml:space="preserve">elgisch </w:t>
      </w:r>
      <w:r w:rsidR="00642B80" w:rsidRPr="00A600C6">
        <w:rPr>
          <w:rFonts w:ascii="Century Gothic" w:hAnsi="Century Gothic"/>
          <w:sz w:val="20"/>
          <w:szCs w:val="20"/>
          <w:lang w:val="nl-BE"/>
        </w:rPr>
        <w:t>S</w:t>
      </w:r>
      <w:r w:rsidR="00A600C6">
        <w:rPr>
          <w:rFonts w:ascii="Century Gothic" w:hAnsi="Century Gothic"/>
          <w:sz w:val="20"/>
          <w:szCs w:val="20"/>
          <w:lang w:val="nl-BE"/>
        </w:rPr>
        <w:t>taatsblad</w:t>
      </w:r>
      <w:r w:rsidR="00642B80" w:rsidRPr="00A600C6">
        <w:rPr>
          <w:rFonts w:ascii="Century Gothic" w:hAnsi="Century Gothic"/>
          <w:sz w:val="20"/>
          <w:szCs w:val="20"/>
          <w:lang w:val="nl-BE"/>
        </w:rPr>
        <w:t xml:space="preserve"> van 9 juli 1999)</w:t>
      </w:r>
      <w:r w:rsidRPr="00A600C6">
        <w:rPr>
          <w:rFonts w:ascii="Century Gothic" w:hAnsi="Century Gothic"/>
          <w:sz w:val="20"/>
          <w:szCs w:val="20"/>
          <w:lang w:val="nl-BE"/>
        </w:rPr>
        <w:t>, zowel voor het aanpakken van psychosociale risico’s op het werk als voor de re-integratie van arbeidsongeschikte werknemers. Deze wetgeving moet uiteraard gerespecteerd worden, en er kan niet van worden afgeweken in individuele situaties. Deze algemene principes bieden alleen een kader, en laten de nodige ruimte aan werkgevers en werknemers om hier samen concrete invulling aan te geven. Centraal staat hierin het comité voor preventie en bescherming op het werk dat ten volle zijn bevoegdheden ter zake moet kunnen uitoefenen (zie ook 3.).</w:t>
      </w:r>
    </w:p>
    <w:p w14:paraId="5B4681A5" w14:textId="77777777" w:rsidR="00D57CE0" w:rsidRPr="00A600C6" w:rsidRDefault="00D57CE0" w:rsidP="00D57CE0">
      <w:pPr>
        <w:rPr>
          <w:rFonts w:ascii="Century Gothic" w:hAnsi="Century Gothic"/>
          <w:sz w:val="20"/>
          <w:szCs w:val="20"/>
          <w:lang w:val="nl-BE"/>
        </w:rPr>
      </w:pPr>
      <w:r w:rsidRPr="00A600C6">
        <w:rPr>
          <w:rFonts w:ascii="Century Gothic" w:hAnsi="Century Gothic"/>
          <w:sz w:val="20"/>
          <w:szCs w:val="20"/>
          <w:lang w:val="nl-BE"/>
        </w:rPr>
        <w:t>2. Proactief beleid - Voorkomen is belangrijker dan genezen is ook hier een belangrijk uitgangspunt: het is beter om niet af te wachten tot bepaalde situaties zich voordoen, maar proactief na te denken over een beleid, zowel op vlak van psychosociale risico’s als inzake re-integratie. Alle instellingen zouden</w:t>
      </w:r>
      <w:r w:rsidRPr="00A600C6">
        <w:rPr>
          <w:rFonts w:ascii="Century Gothic" w:hAnsi="Century Gothic"/>
          <w:color w:val="00B050"/>
          <w:sz w:val="20"/>
          <w:szCs w:val="20"/>
          <w:lang w:val="nl-BE"/>
        </w:rPr>
        <w:t xml:space="preserve"> </w:t>
      </w:r>
      <w:r w:rsidRPr="00A600C6">
        <w:rPr>
          <w:rFonts w:ascii="Century Gothic" w:hAnsi="Century Gothic"/>
          <w:sz w:val="20"/>
          <w:szCs w:val="20"/>
          <w:lang w:val="nl-BE"/>
        </w:rPr>
        <w:t>daarom een proactief beleid moeten uitwerken op deze 2 domeinen.</w:t>
      </w:r>
    </w:p>
    <w:p w14:paraId="3AE88CF4" w14:textId="6F90F3B3" w:rsidR="00D57CE0" w:rsidRPr="00A600C6" w:rsidRDefault="00D57CE0" w:rsidP="00D57CE0">
      <w:pPr>
        <w:rPr>
          <w:rFonts w:ascii="Century Gothic" w:hAnsi="Century Gothic"/>
          <w:sz w:val="20"/>
          <w:szCs w:val="20"/>
          <w:lang w:val="nl-BE"/>
        </w:rPr>
      </w:pPr>
      <w:r w:rsidRPr="00A600C6">
        <w:rPr>
          <w:rFonts w:ascii="Century Gothic" w:hAnsi="Century Gothic"/>
          <w:sz w:val="20"/>
          <w:szCs w:val="20"/>
          <w:lang w:val="nl-BE"/>
        </w:rPr>
        <w:t>3. Sociaal overleg en dialoog - Een goed beleid</w:t>
      </w:r>
      <w:r w:rsidR="0097003F" w:rsidRPr="00A600C6">
        <w:rPr>
          <w:rFonts w:ascii="Century Gothic" w:hAnsi="Century Gothic"/>
          <w:sz w:val="20"/>
          <w:szCs w:val="20"/>
          <w:lang w:val="nl-BE"/>
        </w:rPr>
        <w:t xml:space="preserve"> </w:t>
      </w:r>
      <w:r w:rsidRPr="00A600C6">
        <w:rPr>
          <w:rFonts w:ascii="Century Gothic" w:hAnsi="Century Gothic"/>
          <w:sz w:val="20"/>
          <w:szCs w:val="20"/>
          <w:lang w:val="nl-BE"/>
        </w:rPr>
        <w:t>is maar mogelijk als er een voldoende breed draagvlak voor bestaat, en daarom is het belangrijk dat dit niet van bovenuit wordt opgelegd, maar dat er vanaf het begin voldoende overleg plaats heeft tussen werkgever en werknemers in een constructieve sfeer, via de bestaande organen zoals het comité voor preventie en bescherming op het werk of bij ontstentenis hiervan, de vakbondsafvaardiging</w:t>
      </w:r>
      <w:r w:rsidR="000327D3" w:rsidRPr="00A600C6">
        <w:rPr>
          <w:rFonts w:ascii="Century Gothic" w:hAnsi="Century Gothic"/>
          <w:sz w:val="20"/>
          <w:szCs w:val="20"/>
          <w:lang w:val="nl-BE"/>
        </w:rPr>
        <w:t xml:space="preserve"> samen met de werkgever</w:t>
      </w:r>
      <w:r w:rsidR="00CF2FCD" w:rsidRPr="00A600C6">
        <w:rPr>
          <w:rFonts w:ascii="Century Gothic" w:hAnsi="Century Gothic"/>
          <w:sz w:val="20"/>
          <w:szCs w:val="20"/>
          <w:lang w:val="nl-BE"/>
        </w:rPr>
        <w:t>.</w:t>
      </w:r>
    </w:p>
    <w:p w14:paraId="067449B5" w14:textId="77777777" w:rsidR="00D57CE0" w:rsidRPr="00A600C6" w:rsidRDefault="00D57CE0" w:rsidP="00D57CE0">
      <w:pPr>
        <w:rPr>
          <w:rFonts w:ascii="Century Gothic" w:hAnsi="Century Gothic"/>
          <w:sz w:val="20"/>
          <w:szCs w:val="20"/>
          <w:lang w:val="nl-BE"/>
        </w:rPr>
      </w:pPr>
      <w:r w:rsidRPr="00A600C6">
        <w:rPr>
          <w:rFonts w:ascii="Century Gothic" w:hAnsi="Century Gothic"/>
          <w:sz w:val="20"/>
          <w:szCs w:val="20"/>
          <w:lang w:val="nl-BE"/>
        </w:rPr>
        <w:t>4. Evaluatie en aanpassing van het beleid – Een beleid is geen statisch gegeven aangezien de omstandigheden op de werkvloer voortdurend evolueren. Het beleid moet dan ook op geregelde tijdstippen worden geëvalueerd en als dat nodig is worden aangepast of aangevuld. Net zoals bij de totstandkoming van het beleid, moet er ook over de evaluatie en aanpassing van het beleid met de werknemers (zie 3.) worden gesproken.</w:t>
      </w:r>
    </w:p>
    <w:p w14:paraId="363C48CC" w14:textId="77777777" w:rsidR="00D57CE0" w:rsidRPr="00A600C6" w:rsidRDefault="00D57CE0" w:rsidP="00D57CE0">
      <w:pPr>
        <w:rPr>
          <w:rFonts w:ascii="Century Gothic" w:hAnsi="Century Gothic"/>
          <w:sz w:val="20"/>
          <w:szCs w:val="20"/>
          <w:lang w:val="nl-BE"/>
        </w:rPr>
      </w:pPr>
      <w:r w:rsidRPr="00A600C6">
        <w:rPr>
          <w:rFonts w:ascii="Century Gothic" w:hAnsi="Century Gothic"/>
          <w:sz w:val="20"/>
          <w:szCs w:val="20"/>
          <w:lang w:val="nl-BE"/>
        </w:rPr>
        <w:t>5. Gelijke behandeling &amp; voorkomen van willekeur – Een algemeen kader moet ervoor zorgen dat werknemers niet anders behandeld worden zonder dat daarvoor een duidelijke reden bestaat en dat dit ook duidelijk aan de betrokkenen wordt uitgelegd. Het is belangrijk om hierover ook in alle openheid te spreken. Gelijke behandeling wil immers niet zeggen dat alle situaties op dezelfde manier moeten worden behandeld: uitzonderingen zijn dus mogelijk. Dit hangt ook samen met 6.</w:t>
      </w:r>
    </w:p>
    <w:p w14:paraId="41C17BBF" w14:textId="77777777" w:rsidR="00D57CE0" w:rsidRPr="00A600C6" w:rsidRDefault="00D57CE0" w:rsidP="00D57CE0">
      <w:pPr>
        <w:rPr>
          <w:rFonts w:ascii="Century Gothic" w:hAnsi="Century Gothic"/>
          <w:sz w:val="20"/>
          <w:szCs w:val="20"/>
          <w:lang w:val="nl-BE"/>
        </w:rPr>
      </w:pPr>
      <w:r w:rsidRPr="00A600C6">
        <w:rPr>
          <w:rFonts w:ascii="Century Gothic" w:hAnsi="Century Gothic"/>
          <w:sz w:val="20"/>
          <w:szCs w:val="20"/>
          <w:lang w:val="nl-BE"/>
        </w:rPr>
        <w:t>6. Maatwerk – Men moet in de mate van het mogelijke zoeken naar een oplossing op maat van de werknemer, en dit binnen de grotere structuur van het team of de organisatie. Het is niet altijd nodig of mogelijk om dezelfde regeling te geven aan iedereen of om verworven rechten te behouden, maar men moet uiteraard wel willekeur vermijden (zie ook 5.). Thuiswerk of deeltijds werken kan bv. kaderen in een tijdelijk re-integratietraject dat specifiek gericht is tot terugkerende werknemers zonder dat iedereen hier recht op heeft of deze situatie voor altijd behouden blijft.</w:t>
      </w:r>
    </w:p>
    <w:p w14:paraId="36B52CB9" w14:textId="77777777" w:rsidR="00D57CE0" w:rsidRPr="00A600C6" w:rsidRDefault="00D57CE0" w:rsidP="00D57CE0">
      <w:pPr>
        <w:rPr>
          <w:rFonts w:ascii="Century Gothic" w:hAnsi="Century Gothic"/>
          <w:sz w:val="20"/>
          <w:szCs w:val="20"/>
          <w:lang w:val="nl-BE"/>
        </w:rPr>
      </w:pPr>
      <w:r w:rsidRPr="00A600C6">
        <w:rPr>
          <w:rFonts w:ascii="Century Gothic" w:hAnsi="Century Gothic"/>
          <w:sz w:val="20"/>
          <w:szCs w:val="20"/>
          <w:lang w:val="nl-BE"/>
        </w:rPr>
        <w:t>7. Vertrouwen en autonomie – Een cultuur van vertrouwen en voldoende autonomie draagt bij tot werknemers die zich goed voelen op het werk en beter presteren. De leidinggevenden en de organisatie hebben daarbij een heel belangrijke rol: zij moeten uiteraard richtlijnen geven en grenzen stellen, maar verder moeten zij bereid zijn om erop te vertrouwen dat de werknemers hun taken goed zullen uitvoeren. Goede afspraken zijn ook hier van fundamenteel belang.</w:t>
      </w:r>
    </w:p>
    <w:p w14:paraId="5F8182FB" w14:textId="77777777" w:rsidR="00D57CE0" w:rsidRPr="00A600C6" w:rsidRDefault="00D57CE0" w:rsidP="00D57CE0">
      <w:pPr>
        <w:rPr>
          <w:rFonts w:ascii="Century Gothic" w:hAnsi="Century Gothic"/>
          <w:sz w:val="20"/>
          <w:szCs w:val="20"/>
          <w:lang w:val="nl-BE"/>
        </w:rPr>
      </w:pPr>
      <w:r w:rsidRPr="00A600C6">
        <w:rPr>
          <w:rFonts w:ascii="Century Gothic" w:hAnsi="Century Gothic"/>
          <w:sz w:val="20"/>
          <w:szCs w:val="20"/>
          <w:lang w:val="nl-BE"/>
        </w:rPr>
        <w:lastRenderedPageBreak/>
        <w:t>8. Vorming en opleiding – Alle werknemers moeten voldoende mogelijkheden krijgen voor vorming en opleiding doorheen de volledige loopbaan. Deze vorming kan ook intern worden aangeboden wanneer dat mogelijk is. De vorming kan gericht zijn op beroepscompetenties, maar bv. ook op andere aspecten van het werk zoals omgaan met agressie of stress, burn-outpreventie, leidinggeven, enz.</w:t>
      </w:r>
    </w:p>
    <w:p w14:paraId="068AC5DB" w14:textId="6FE6EF4E" w:rsidR="00D57CE0" w:rsidRPr="00A600C6" w:rsidRDefault="00D57CE0" w:rsidP="00D57CE0">
      <w:pPr>
        <w:rPr>
          <w:rFonts w:ascii="Century Gothic" w:hAnsi="Century Gothic"/>
          <w:sz w:val="20"/>
          <w:szCs w:val="20"/>
          <w:lang w:val="nl-BE"/>
        </w:rPr>
      </w:pPr>
      <w:r w:rsidRPr="00A600C6">
        <w:rPr>
          <w:rFonts w:ascii="Century Gothic" w:hAnsi="Century Gothic"/>
          <w:sz w:val="20"/>
          <w:szCs w:val="20"/>
          <w:lang w:val="nl-BE"/>
        </w:rPr>
        <w:t>9. Hulp van derden – Telkens wanneer dat nodig of nuttig is kan de hulp van een derde worden ingeroepen, zowel van binnen als van buiten de organisatie, bv. wanneer er spanningen zijn tussen een werknemer en zijn leidinggevende kan een vertrouwenspersoon of psychosociale preventieadviseur raadplegen een oplossing bieden. In dit kader kan een burn-outcoach of stresscoach worden aangesteld (met respect voor bevoegdheden van bv. vertrouwenspersonen en preventieadviseur psychosociale aspecten (</w:t>
      </w:r>
      <w:proofErr w:type="spellStart"/>
      <w:r w:rsidRPr="00A600C6">
        <w:rPr>
          <w:rFonts w:ascii="Century Gothic" w:hAnsi="Century Gothic"/>
          <w:sz w:val="20"/>
          <w:szCs w:val="20"/>
          <w:lang w:val="nl-BE"/>
        </w:rPr>
        <w:t>PAPsy</w:t>
      </w:r>
      <w:proofErr w:type="spellEnd"/>
      <w:r w:rsidRPr="00A600C6">
        <w:rPr>
          <w:rFonts w:ascii="Century Gothic" w:hAnsi="Century Gothic"/>
          <w:sz w:val="20"/>
          <w:szCs w:val="20"/>
          <w:lang w:val="nl-BE"/>
        </w:rPr>
        <w:t xml:space="preserve">) en CPBW). (Initiatieven hierrond zullen worden genomen op sectoraal vlak, </w:t>
      </w:r>
      <w:r w:rsidR="00A600C6" w:rsidRPr="00A600C6">
        <w:rPr>
          <w:rFonts w:ascii="Century Gothic" w:hAnsi="Century Gothic"/>
          <w:sz w:val="20"/>
          <w:szCs w:val="20"/>
          <w:lang w:val="nl-BE"/>
        </w:rPr>
        <w:t>bv. vanuit het vormingsfonds</w:t>
      </w:r>
      <w:r w:rsidRPr="00A600C6">
        <w:rPr>
          <w:rFonts w:ascii="Century Gothic" w:hAnsi="Century Gothic"/>
          <w:sz w:val="20"/>
          <w:szCs w:val="20"/>
          <w:lang w:val="nl-BE"/>
        </w:rPr>
        <w:t>)</w:t>
      </w:r>
    </w:p>
    <w:p w14:paraId="67D9DCC5" w14:textId="433D5EB1" w:rsidR="00D57CE0" w:rsidRDefault="00D57CE0" w:rsidP="0048634B">
      <w:pPr>
        <w:rPr>
          <w:rFonts w:ascii="Century Gothic" w:hAnsi="Century Gothic"/>
          <w:sz w:val="20"/>
          <w:szCs w:val="20"/>
          <w:lang w:val="nl-BE"/>
        </w:rPr>
      </w:pPr>
      <w:r w:rsidRPr="00A600C6">
        <w:rPr>
          <w:rFonts w:ascii="Century Gothic" w:hAnsi="Century Gothic"/>
          <w:sz w:val="20"/>
          <w:szCs w:val="20"/>
          <w:lang w:val="nl-BE"/>
        </w:rPr>
        <w:t>10. Beperking administratieve overlast – Het is niet de bedoeling om hiermee bijkomende administratieve overlast of papier te veroorzaken, maar wel om een meerwaarde te creëren vanuit een gemeenschappelijk doelstelling (zie hoger).</w:t>
      </w:r>
      <w:bookmarkStart w:id="1" w:name="_Toc515543398"/>
    </w:p>
    <w:p w14:paraId="24669640" w14:textId="77777777" w:rsidR="00A600C6" w:rsidRPr="00A600C6" w:rsidRDefault="00A600C6" w:rsidP="0048634B">
      <w:pPr>
        <w:rPr>
          <w:rFonts w:ascii="Century Gothic" w:hAnsi="Century Gothic"/>
          <w:sz w:val="20"/>
          <w:szCs w:val="20"/>
          <w:lang w:val="nl-BE"/>
        </w:rPr>
      </w:pPr>
    </w:p>
    <w:p w14:paraId="00AF284D" w14:textId="66697CA4" w:rsidR="0048634B" w:rsidRPr="00A600C6" w:rsidRDefault="00562D47" w:rsidP="0048634B">
      <w:pPr>
        <w:jc w:val="center"/>
        <w:rPr>
          <w:rFonts w:ascii="Century Gothic" w:hAnsi="Century Gothic"/>
          <w:sz w:val="20"/>
          <w:szCs w:val="20"/>
          <w:lang w:val="nl-BE"/>
        </w:rPr>
      </w:pPr>
      <w:r w:rsidRPr="00A600C6">
        <w:rPr>
          <w:rFonts w:ascii="Century Gothic" w:hAnsi="Century Gothic"/>
          <w:sz w:val="20"/>
          <w:szCs w:val="20"/>
          <w:lang w:val="nl-BE"/>
        </w:rPr>
        <w:t>HOOFDSTUK 3</w:t>
      </w:r>
      <w:r w:rsidR="0048634B" w:rsidRPr="00A600C6">
        <w:rPr>
          <w:rFonts w:ascii="Century Gothic" w:hAnsi="Century Gothic"/>
          <w:sz w:val="20"/>
          <w:szCs w:val="20"/>
          <w:lang w:val="nl-BE"/>
        </w:rPr>
        <w:t>: Ondersteuning van een expertisebeleid “omgaan met agressie in de werkomgeving”</w:t>
      </w:r>
      <w:bookmarkEnd w:id="1"/>
    </w:p>
    <w:p w14:paraId="7CE2DA7F" w14:textId="5F6D7008" w:rsidR="00B8458F" w:rsidRPr="00A600C6" w:rsidRDefault="0048634B" w:rsidP="003F153E">
      <w:pPr>
        <w:spacing w:after="0"/>
        <w:rPr>
          <w:rFonts w:ascii="Century Gothic" w:hAnsi="Century Gothic"/>
          <w:sz w:val="20"/>
          <w:szCs w:val="20"/>
          <w:lang w:val="nl-BE"/>
        </w:rPr>
      </w:pPr>
      <w:r w:rsidRPr="00A600C6">
        <w:rPr>
          <w:rFonts w:ascii="Century Gothic" w:hAnsi="Century Gothic"/>
          <w:sz w:val="20"/>
          <w:szCs w:val="20"/>
          <w:lang w:val="nl-BE"/>
        </w:rPr>
        <w:t>Artikel 5</w:t>
      </w:r>
    </w:p>
    <w:p w14:paraId="454F6032" w14:textId="0F0F39DD" w:rsidR="00FE1431" w:rsidRPr="00A600C6" w:rsidRDefault="00FE1431" w:rsidP="00FE1431">
      <w:pPr>
        <w:spacing w:after="0"/>
        <w:rPr>
          <w:rFonts w:ascii="Century Gothic" w:hAnsi="Century Gothic"/>
          <w:sz w:val="20"/>
          <w:szCs w:val="20"/>
          <w:lang w:val="nl-BE"/>
        </w:rPr>
      </w:pPr>
      <w:r w:rsidRPr="00A600C6">
        <w:rPr>
          <w:rFonts w:ascii="Century Gothic" w:hAnsi="Century Gothic"/>
          <w:sz w:val="20"/>
          <w:szCs w:val="20"/>
          <w:lang w:val="nl-BE"/>
        </w:rPr>
        <w:t xml:space="preserve">Onderhavig hoofdstuk beoogt een aantal principes aan te reiken op basis waarvan op ondernemingsniveau </w:t>
      </w:r>
      <w:r w:rsidR="001E3173" w:rsidRPr="00A600C6">
        <w:rPr>
          <w:rFonts w:ascii="Century Gothic" w:hAnsi="Century Gothic"/>
          <w:sz w:val="20"/>
          <w:szCs w:val="20"/>
          <w:lang w:val="nl-BE"/>
        </w:rPr>
        <w:t xml:space="preserve">een expertisebeleid </w:t>
      </w:r>
      <w:r w:rsidRPr="00A600C6">
        <w:rPr>
          <w:rFonts w:ascii="Century Gothic" w:hAnsi="Century Gothic"/>
          <w:sz w:val="20"/>
          <w:szCs w:val="20"/>
          <w:lang w:val="nl-BE"/>
        </w:rPr>
        <w:t xml:space="preserve"> “omgaan met agressie in de werkomgeving” </w:t>
      </w:r>
      <w:r w:rsidR="001E3173" w:rsidRPr="00A600C6">
        <w:rPr>
          <w:rFonts w:ascii="Century Gothic" w:hAnsi="Century Gothic"/>
          <w:sz w:val="20"/>
          <w:szCs w:val="20"/>
          <w:lang w:val="nl-BE"/>
        </w:rPr>
        <w:t xml:space="preserve">kan uitgewerkt worden </w:t>
      </w:r>
      <w:r w:rsidRPr="00A600C6">
        <w:rPr>
          <w:rFonts w:ascii="Century Gothic" w:hAnsi="Century Gothic"/>
          <w:sz w:val="20"/>
          <w:szCs w:val="20"/>
          <w:lang w:val="nl-BE"/>
        </w:rPr>
        <w:t xml:space="preserve">. </w:t>
      </w:r>
    </w:p>
    <w:p w14:paraId="112A2A25" w14:textId="77777777" w:rsidR="00FE1431" w:rsidRPr="00A600C6" w:rsidRDefault="00FE1431" w:rsidP="00FE1431">
      <w:pPr>
        <w:spacing w:after="0"/>
        <w:rPr>
          <w:rFonts w:ascii="Century Gothic" w:hAnsi="Century Gothic"/>
          <w:sz w:val="20"/>
          <w:szCs w:val="20"/>
          <w:lang w:val="nl-BE"/>
        </w:rPr>
      </w:pPr>
    </w:p>
    <w:p w14:paraId="199F87F7" w14:textId="4BA6ED49" w:rsidR="00FE1431" w:rsidRPr="00A600C6" w:rsidRDefault="00FE1431" w:rsidP="00FE1431">
      <w:pPr>
        <w:spacing w:after="0"/>
        <w:rPr>
          <w:rFonts w:ascii="Century Gothic" w:hAnsi="Century Gothic"/>
          <w:sz w:val="20"/>
          <w:szCs w:val="20"/>
          <w:lang w:val="nl-BE"/>
        </w:rPr>
      </w:pPr>
      <w:r w:rsidRPr="00A600C6">
        <w:rPr>
          <w:rFonts w:ascii="Century Gothic" w:hAnsi="Century Gothic"/>
          <w:sz w:val="20"/>
          <w:szCs w:val="20"/>
          <w:lang w:val="nl-BE"/>
        </w:rPr>
        <w:t xml:space="preserve">Artikel </w:t>
      </w:r>
      <w:r w:rsidR="001C3F5B" w:rsidRPr="00A600C6">
        <w:rPr>
          <w:rFonts w:ascii="Century Gothic" w:hAnsi="Century Gothic"/>
          <w:sz w:val="20"/>
          <w:szCs w:val="20"/>
          <w:lang w:val="nl-BE"/>
        </w:rPr>
        <w:t>6</w:t>
      </w:r>
    </w:p>
    <w:p w14:paraId="182FBCE4" w14:textId="04F6E1F7" w:rsidR="00FE1431" w:rsidRPr="00A600C6" w:rsidRDefault="00FE1431" w:rsidP="00FE1431">
      <w:pPr>
        <w:spacing w:after="0"/>
        <w:rPr>
          <w:rFonts w:ascii="Century Gothic" w:hAnsi="Century Gothic"/>
          <w:sz w:val="20"/>
          <w:szCs w:val="20"/>
          <w:lang w:val="nl-BE"/>
        </w:rPr>
      </w:pPr>
      <w:r w:rsidRPr="00A600C6">
        <w:rPr>
          <w:rFonts w:ascii="Century Gothic" w:hAnsi="Century Gothic"/>
          <w:sz w:val="20"/>
          <w:szCs w:val="20"/>
          <w:lang w:val="nl-BE"/>
        </w:rPr>
        <w:t>Omgaan met agressie in de werkomgeving vereist een integrale en structurele benadering vanuit een bele</w:t>
      </w:r>
      <w:r w:rsidR="008A2367" w:rsidRPr="00A600C6">
        <w:rPr>
          <w:rFonts w:ascii="Century Gothic" w:hAnsi="Century Gothic"/>
          <w:sz w:val="20"/>
          <w:szCs w:val="20"/>
          <w:lang w:val="nl-BE"/>
        </w:rPr>
        <w:t xml:space="preserve">idsvisie </w:t>
      </w:r>
      <w:r w:rsidR="001E3173" w:rsidRPr="00A600C6">
        <w:rPr>
          <w:rFonts w:ascii="Century Gothic" w:hAnsi="Century Gothic"/>
          <w:sz w:val="20"/>
          <w:szCs w:val="20"/>
          <w:lang w:val="nl-BE"/>
        </w:rPr>
        <w:t xml:space="preserve">waarop een beleidsplan </w:t>
      </w:r>
      <w:r w:rsidR="008A2367" w:rsidRPr="00A600C6">
        <w:rPr>
          <w:rFonts w:ascii="Century Gothic" w:hAnsi="Century Gothic"/>
          <w:sz w:val="20"/>
          <w:szCs w:val="20"/>
          <w:lang w:val="nl-BE"/>
        </w:rPr>
        <w:t>van de onderneming</w:t>
      </w:r>
      <w:r w:rsidR="001E3173" w:rsidRPr="00A600C6">
        <w:rPr>
          <w:rFonts w:ascii="Century Gothic" w:hAnsi="Century Gothic"/>
          <w:sz w:val="20"/>
          <w:szCs w:val="20"/>
          <w:lang w:val="nl-BE"/>
        </w:rPr>
        <w:t xml:space="preserve"> geënt is</w:t>
      </w:r>
      <w:r w:rsidR="008A2367" w:rsidRPr="00A600C6">
        <w:rPr>
          <w:rFonts w:ascii="Century Gothic" w:hAnsi="Century Gothic"/>
          <w:sz w:val="20"/>
          <w:szCs w:val="20"/>
          <w:lang w:val="nl-BE"/>
        </w:rPr>
        <w:t xml:space="preserve">. </w:t>
      </w:r>
      <w:r w:rsidR="001E3173" w:rsidRPr="00A600C6">
        <w:rPr>
          <w:rFonts w:ascii="Century Gothic" w:hAnsi="Century Gothic"/>
          <w:sz w:val="20"/>
          <w:szCs w:val="20"/>
          <w:lang w:val="nl-BE"/>
        </w:rPr>
        <w:t xml:space="preserve">Van daaruit zijn concrete maatregelen </w:t>
      </w:r>
      <w:r w:rsidR="00A600C6" w:rsidRPr="00A600C6">
        <w:rPr>
          <w:rFonts w:ascii="Century Gothic" w:hAnsi="Century Gothic"/>
          <w:sz w:val="20"/>
          <w:szCs w:val="20"/>
          <w:lang w:val="nl-BE"/>
        </w:rPr>
        <w:t>mogelijk inzake</w:t>
      </w:r>
      <w:r w:rsidRPr="00A600C6">
        <w:rPr>
          <w:rFonts w:ascii="Century Gothic" w:hAnsi="Century Gothic"/>
          <w:sz w:val="20"/>
          <w:szCs w:val="20"/>
          <w:lang w:val="nl-BE"/>
        </w:rPr>
        <w:t xml:space="preserve"> preventie, interventie, nazorg en herstel, zoals bijvoorbeeld via het beschikken over een gedragscode, registratie en opvolging van incidenten, een interventieprotocol, materiële en organisatorische aanpassingen, concrete opvang en herstelmaatregelen. </w:t>
      </w:r>
    </w:p>
    <w:p w14:paraId="2F049FA6" w14:textId="77777777" w:rsidR="00FE1431" w:rsidRPr="00A600C6" w:rsidRDefault="00FE1431" w:rsidP="003F153E">
      <w:pPr>
        <w:spacing w:after="0"/>
        <w:rPr>
          <w:rFonts w:ascii="Century Gothic" w:hAnsi="Century Gothic"/>
          <w:sz w:val="20"/>
          <w:szCs w:val="20"/>
          <w:lang w:val="nl-BE"/>
        </w:rPr>
      </w:pPr>
    </w:p>
    <w:p w14:paraId="16F33D24" w14:textId="052FA49B" w:rsidR="00FE1431" w:rsidRPr="00A600C6" w:rsidRDefault="00A641BF" w:rsidP="003F153E">
      <w:pPr>
        <w:spacing w:after="0"/>
        <w:rPr>
          <w:rFonts w:ascii="Century Gothic" w:hAnsi="Century Gothic"/>
          <w:sz w:val="20"/>
          <w:szCs w:val="20"/>
          <w:lang w:val="nl-BE"/>
        </w:rPr>
      </w:pPr>
      <w:r w:rsidRPr="00A600C6">
        <w:rPr>
          <w:rFonts w:ascii="Century Gothic" w:hAnsi="Century Gothic"/>
          <w:sz w:val="20"/>
          <w:szCs w:val="20"/>
          <w:lang w:val="nl-BE"/>
        </w:rPr>
        <w:t>Artikel 7</w:t>
      </w:r>
    </w:p>
    <w:p w14:paraId="718AA3C5" w14:textId="792272FA" w:rsidR="00A641BF" w:rsidRPr="00A600C6" w:rsidRDefault="00A50311" w:rsidP="003F153E">
      <w:pPr>
        <w:spacing w:after="0"/>
        <w:rPr>
          <w:rFonts w:ascii="Century Gothic" w:hAnsi="Century Gothic"/>
          <w:sz w:val="20"/>
          <w:szCs w:val="20"/>
          <w:lang w:val="nl-BE"/>
        </w:rPr>
      </w:pPr>
      <w:r w:rsidRPr="00A600C6">
        <w:rPr>
          <w:rFonts w:ascii="Century Gothic" w:hAnsi="Century Gothic"/>
          <w:sz w:val="20"/>
          <w:szCs w:val="20"/>
          <w:lang w:val="nl-BE"/>
        </w:rPr>
        <w:t>De sectorale sociale partners komen overeen na te gaan hoe een sectorspecifieke ondersteuning vanuit het kennis- en expertisecentrum ICOBA vorm kan krijgen.</w:t>
      </w:r>
    </w:p>
    <w:p w14:paraId="495E7D60" w14:textId="77777777" w:rsidR="0048634B" w:rsidRPr="00A600C6" w:rsidRDefault="0048634B" w:rsidP="0048634B">
      <w:pPr>
        <w:spacing w:after="0"/>
        <w:rPr>
          <w:rFonts w:ascii="Century Gothic" w:hAnsi="Century Gothic"/>
          <w:sz w:val="20"/>
          <w:szCs w:val="20"/>
          <w:lang w:val="nl-BE"/>
        </w:rPr>
      </w:pPr>
    </w:p>
    <w:p w14:paraId="48FCA1BE" w14:textId="77777777" w:rsidR="0048634B" w:rsidRPr="00A600C6" w:rsidRDefault="00926AE8" w:rsidP="0048634B">
      <w:pPr>
        <w:spacing w:after="0"/>
        <w:jc w:val="center"/>
        <w:rPr>
          <w:rFonts w:ascii="Century Gothic" w:hAnsi="Century Gothic"/>
          <w:sz w:val="20"/>
          <w:szCs w:val="20"/>
          <w:lang w:val="nl-BE"/>
        </w:rPr>
      </w:pPr>
      <w:r w:rsidRPr="00A600C6">
        <w:rPr>
          <w:rFonts w:ascii="Century Gothic" w:hAnsi="Century Gothic"/>
          <w:sz w:val="20"/>
          <w:szCs w:val="20"/>
          <w:lang w:val="nl-BE"/>
        </w:rPr>
        <w:t>HOOFDSTUK 4</w:t>
      </w:r>
      <w:r w:rsidR="00686756" w:rsidRPr="00A600C6">
        <w:rPr>
          <w:rFonts w:ascii="Century Gothic" w:hAnsi="Century Gothic"/>
          <w:sz w:val="20"/>
          <w:szCs w:val="20"/>
          <w:lang w:val="nl-BE"/>
        </w:rPr>
        <w:t>: S</w:t>
      </w:r>
      <w:r w:rsidR="0048634B" w:rsidRPr="00A600C6">
        <w:rPr>
          <w:rFonts w:ascii="Century Gothic" w:hAnsi="Century Gothic"/>
          <w:sz w:val="20"/>
          <w:szCs w:val="20"/>
          <w:lang w:val="nl-BE"/>
        </w:rPr>
        <w:t>lotbepalingen</w:t>
      </w:r>
    </w:p>
    <w:p w14:paraId="1ED5D602" w14:textId="56EA10D4" w:rsidR="0048634B" w:rsidRPr="00A600C6" w:rsidRDefault="00686756" w:rsidP="0048634B">
      <w:pPr>
        <w:spacing w:after="0"/>
        <w:rPr>
          <w:rFonts w:ascii="Century Gothic" w:hAnsi="Century Gothic"/>
          <w:sz w:val="20"/>
          <w:szCs w:val="20"/>
          <w:lang w:val="nl-BE"/>
        </w:rPr>
      </w:pPr>
      <w:r w:rsidRPr="00A600C6">
        <w:rPr>
          <w:rFonts w:ascii="Century Gothic" w:hAnsi="Century Gothic"/>
          <w:sz w:val="20"/>
          <w:szCs w:val="20"/>
          <w:lang w:val="nl-BE"/>
        </w:rPr>
        <w:t xml:space="preserve">Artikel </w:t>
      </w:r>
      <w:r w:rsidR="00A641BF" w:rsidRPr="00A600C6">
        <w:rPr>
          <w:rFonts w:ascii="Century Gothic" w:hAnsi="Century Gothic"/>
          <w:sz w:val="20"/>
          <w:szCs w:val="20"/>
          <w:lang w:val="nl-BE"/>
        </w:rPr>
        <w:t>8</w:t>
      </w:r>
      <w:r w:rsidR="001C3F5B" w:rsidRPr="00A600C6">
        <w:rPr>
          <w:rFonts w:ascii="Century Gothic" w:hAnsi="Century Gothic"/>
          <w:sz w:val="20"/>
          <w:szCs w:val="20"/>
          <w:lang w:val="nl-BE"/>
        </w:rPr>
        <w:t xml:space="preserve"> </w:t>
      </w:r>
    </w:p>
    <w:p w14:paraId="3857A38B" w14:textId="6258536D" w:rsidR="00C918F6" w:rsidRPr="00A600C6" w:rsidRDefault="0048634B" w:rsidP="00C45087">
      <w:pPr>
        <w:rPr>
          <w:rFonts w:ascii="Century Gothic" w:hAnsi="Century Gothic"/>
          <w:sz w:val="20"/>
          <w:szCs w:val="20"/>
          <w:lang w:val="nl-BE"/>
        </w:rPr>
      </w:pPr>
      <w:r w:rsidRPr="00A600C6">
        <w:rPr>
          <w:rFonts w:ascii="Century Gothic" w:hAnsi="Century Gothic"/>
          <w:sz w:val="20"/>
          <w:szCs w:val="20"/>
          <w:lang w:val="nl-BE"/>
        </w:rPr>
        <w:t>Deze collectieve arbeidsovereenkomst hee</w:t>
      </w:r>
      <w:r w:rsidR="004D7062">
        <w:rPr>
          <w:rFonts w:ascii="Century Gothic" w:hAnsi="Century Gothic"/>
          <w:sz w:val="20"/>
          <w:szCs w:val="20"/>
          <w:lang w:val="nl-BE"/>
        </w:rPr>
        <w:t>ft uitwerking met ingang van 16</w:t>
      </w:r>
      <w:r w:rsidR="007E66DF">
        <w:rPr>
          <w:rFonts w:ascii="Century Gothic" w:hAnsi="Century Gothic"/>
          <w:sz w:val="20"/>
          <w:szCs w:val="20"/>
          <w:lang w:val="nl-BE"/>
        </w:rPr>
        <w:t xml:space="preserve"> december 2019</w:t>
      </w:r>
      <w:r w:rsidRPr="00A600C6">
        <w:rPr>
          <w:rFonts w:ascii="Century Gothic" w:hAnsi="Century Gothic"/>
          <w:sz w:val="20"/>
          <w:szCs w:val="20"/>
          <w:lang w:val="nl-BE"/>
        </w:rPr>
        <w:t xml:space="preserve"> en is gesloten voor onbepaalde tijd. Zij kan worden opgezegd door elk van de partijen, mits een opzeggingstermijn van zes maanden, gericht bij een ter post aangetekend schrijven aan de voorzitter van het </w:t>
      </w:r>
      <w:r w:rsidR="004D7062" w:rsidRPr="004D7062">
        <w:rPr>
          <w:rFonts w:ascii="Century Gothic" w:hAnsi="Century Gothic"/>
          <w:sz w:val="20"/>
          <w:szCs w:val="20"/>
          <w:lang w:val="nl-NL"/>
        </w:rPr>
        <w:t>Paritair Subcomité voor de socio-culturele sector van de Vlaamse Gemeenschap</w:t>
      </w:r>
      <w:r w:rsidRPr="00A600C6">
        <w:rPr>
          <w:rFonts w:ascii="Century Gothic" w:hAnsi="Century Gothic"/>
          <w:sz w:val="20"/>
          <w:szCs w:val="20"/>
          <w:lang w:val="nl-BE"/>
        </w:rPr>
        <w:t>.</w:t>
      </w:r>
    </w:p>
    <w:sectPr w:rsidR="00C918F6" w:rsidRPr="00A600C6" w:rsidSect="000A79F3">
      <w:footerReference w:type="default" r:id="rId10"/>
      <w:pgSz w:w="12240" w:h="15840"/>
      <w:pgMar w:top="1134"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9636E" w14:textId="77777777" w:rsidR="00C77DF3" w:rsidRDefault="00C77DF3" w:rsidP="007816E9">
      <w:pPr>
        <w:spacing w:after="0" w:line="240" w:lineRule="auto"/>
      </w:pPr>
      <w:r>
        <w:separator/>
      </w:r>
    </w:p>
  </w:endnote>
  <w:endnote w:type="continuationSeparator" w:id="0">
    <w:p w14:paraId="6CEE0400" w14:textId="77777777" w:rsidR="00C77DF3" w:rsidRDefault="00C77DF3" w:rsidP="00781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8051653"/>
      <w:docPartObj>
        <w:docPartGallery w:val="Page Numbers (Bottom of Page)"/>
        <w:docPartUnique/>
      </w:docPartObj>
    </w:sdtPr>
    <w:sdtEndPr/>
    <w:sdtContent>
      <w:p w14:paraId="6CA4B754" w14:textId="5A48BE42" w:rsidR="007816E9" w:rsidRDefault="007816E9">
        <w:pPr>
          <w:pStyle w:val="Voettekst"/>
        </w:pPr>
        <w:r>
          <w:fldChar w:fldCharType="begin"/>
        </w:r>
        <w:r>
          <w:instrText>PAGE   \* MERGEFORMAT</w:instrText>
        </w:r>
        <w:r>
          <w:fldChar w:fldCharType="separate"/>
        </w:r>
        <w:r w:rsidR="00997139" w:rsidRPr="00997139">
          <w:rPr>
            <w:noProof/>
            <w:lang w:val="nl-NL"/>
          </w:rPr>
          <w:t>3</w:t>
        </w:r>
        <w:r>
          <w:fldChar w:fldCharType="end"/>
        </w:r>
      </w:p>
    </w:sdtContent>
  </w:sdt>
  <w:p w14:paraId="061A0728" w14:textId="77777777" w:rsidR="007816E9" w:rsidRDefault="007816E9">
    <w:pPr>
      <w:pStyle w:val="Voetteks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46D41" w14:textId="77777777" w:rsidR="00C77DF3" w:rsidRDefault="00C77DF3" w:rsidP="007816E9">
      <w:pPr>
        <w:spacing w:after="0" w:line="240" w:lineRule="auto"/>
      </w:pPr>
      <w:r>
        <w:separator/>
      </w:r>
    </w:p>
  </w:footnote>
  <w:footnote w:type="continuationSeparator" w:id="0">
    <w:p w14:paraId="6A69BEB6" w14:textId="77777777" w:rsidR="00C77DF3" w:rsidRDefault="00C77DF3" w:rsidP="007816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525DB"/>
    <w:multiLevelType w:val="hybridMultilevel"/>
    <w:tmpl w:val="EEAE3ED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4A2403B1"/>
    <w:multiLevelType w:val="hybridMultilevel"/>
    <w:tmpl w:val="9B60599A"/>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6B9E5522"/>
    <w:multiLevelType w:val="hybridMultilevel"/>
    <w:tmpl w:val="9ED6DDE0"/>
    <w:lvl w:ilvl="0" w:tplc="1D68673A">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35E"/>
    <w:rsid w:val="0001790A"/>
    <w:rsid w:val="000300D7"/>
    <w:rsid w:val="000327D3"/>
    <w:rsid w:val="00065C6E"/>
    <w:rsid w:val="00073ADE"/>
    <w:rsid w:val="0008505E"/>
    <w:rsid w:val="00096C27"/>
    <w:rsid w:val="000A79F3"/>
    <w:rsid w:val="000E5DD1"/>
    <w:rsid w:val="001440C5"/>
    <w:rsid w:val="00162306"/>
    <w:rsid w:val="001A1F60"/>
    <w:rsid w:val="001A6AC2"/>
    <w:rsid w:val="001C2203"/>
    <w:rsid w:val="001C3F5B"/>
    <w:rsid w:val="001E3173"/>
    <w:rsid w:val="002177CB"/>
    <w:rsid w:val="002D5F6E"/>
    <w:rsid w:val="0037394F"/>
    <w:rsid w:val="003770A1"/>
    <w:rsid w:val="003775CB"/>
    <w:rsid w:val="00383C5E"/>
    <w:rsid w:val="003853CA"/>
    <w:rsid w:val="00385F1C"/>
    <w:rsid w:val="003C3FB4"/>
    <w:rsid w:val="003E1CE5"/>
    <w:rsid w:val="003F153E"/>
    <w:rsid w:val="00457DD0"/>
    <w:rsid w:val="00484928"/>
    <w:rsid w:val="0048634B"/>
    <w:rsid w:val="004927AF"/>
    <w:rsid w:val="004B51C1"/>
    <w:rsid w:val="004D7062"/>
    <w:rsid w:val="00516CE5"/>
    <w:rsid w:val="00562D47"/>
    <w:rsid w:val="005E1283"/>
    <w:rsid w:val="005E65EF"/>
    <w:rsid w:val="0061028E"/>
    <w:rsid w:val="00613C3F"/>
    <w:rsid w:val="00621846"/>
    <w:rsid w:val="00642B80"/>
    <w:rsid w:val="0065432C"/>
    <w:rsid w:val="006847B6"/>
    <w:rsid w:val="00686756"/>
    <w:rsid w:val="006870EE"/>
    <w:rsid w:val="00725AFA"/>
    <w:rsid w:val="0075138A"/>
    <w:rsid w:val="00760B2F"/>
    <w:rsid w:val="00773D8A"/>
    <w:rsid w:val="007816E9"/>
    <w:rsid w:val="007E66DF"/>
    <w:rsid w:val="00826D5D"/>
    <w:rsid w:val="00844470"/>
    <w:rsid w:val="00854B6C"/>
    <w:rsid w:val="00860E4E"/>
    <w:rsid w:val="008A2367"/>
    <w:rsid w:val="008B2ABA"/>
    <w:rsid w:val="008B787D"/>
    <w:rsid w:val="00926AE8"/>
    <w:rsid w:val="0097003F"/>
    <w:rsid w:val="00980C5F"/>
    <w:rsid w:val="00997139"/>
    <w:rsid w:val="009972E5"/>
    <w:rsid w:val="009B3D6F"/>
    <w:rsid w:val="00A10EC0"/>
    <w:rsid w:val="00A50311"/>
    <w:rsid w:val="00A600C6"/>
    <w:rsid w:val="00A641BF"/>
    <w:rsid w:val="00A6509F"/>
    <w:rsid w:val="00A65B4E"/>
    <w:rsid w:val="00AB5F74"/>
    <w:rsid w:val="00B066A2"/>
    <w:rsid w:val="00B2183B"/>
    <w:rsid w:val="00B71C08"/>
    <w:rsid w:val="00B82C77"/>
    <w:rsid w:val="00B8458F"/>
    <w:rsid w:val="00B84F9F"/>
    <w:rsid w:val="00BE14E4"/>
    <w:rsid w:val="00C45087"/>
    <w:rsid w:val="00C667B6"/>
    <w:rsid w:val="00C77DF3"/>
    <w:rsid w:val="00C77F3B"/>
    <w:rsid w:val="00C918F6"/>
    <w:rsid w:val="00CE249B"/>
    <w:rsid w:val="00CF2FCD"/>
    <w:rsid w:val="00D23026"/>
    <w:rsid w:val="00D343ED"/>
    <w:rsid w:val="00D57CE0"/>
    <w:rsid w:val="00DB5C18"/>
    <w:rsid w:val="00DB6091"/>
    <w:rsid w:val="00DD2BCC"/>
    <w:rsid w:val="00DF673C"/>
    <w:rsid w:val="00E0632C"/>
    <w:rsid w:val="00E12A46"/>
    <w:rsid w:val="00E1735E"/>
    <w:rsid w:val="00E23697"/>
    <w:rsid w:val="00E77F61"/>
    <w:rsid w:val="00ED4082"/>
    <w:rsid w:val="00EE4D81"/>
    <w:rsid w:val="00F171C7"/>
    <w:rsid w:val="00F32928"/>
    <w:rsid w:val="00FE1431"/>
    <w:rsid w:val="00FE1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FCF5E"/>
  <w15:docId w15:val="{C1283FF9-B0B0-47B2-827B-D526D4E41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16E9"/>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7816E9"/>
  </w:style>
  <w:style w:type="paragraph" w:styleId="Voettekst">
    <w:name w:val="footer"/>
    <w:basedOn w:val="Standaard"/>
    <w:link w:val="VoettekstChar"/>
    <w:uiPriority w:val="99"/>
    <w:unhideWhenUsed/>
    <w:rsid w:val="007816E9"/>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7816E9"/>
  </w:style>
  <w:style w:type="character" w:styleId="Verwijzingopmerking">
    <w:name w:val="annotation reference"/>
    <w:basedOn w:val="Standaardalinea-lettertype"/>
    <w:uiPriority w:val="99"/>
    <w:semiHidden/>
    <w:unhideWhenUsed/>
    <w:rsid w:val="005E65EF"/>
    <w:rPr>
      <w:sz w:val="16"/>
      <w:szCs w:val="16"/>
    </w:rPr>
  </w:style>
  <w:style w:type="paragraph" w:styleId="Tekstopmerking">
    <w:name w:val="annotation text"/>
    <w:basedOn w:val="Standaard"/>
    <w:link w:val="TekstopmerkingChar"/>
    <w:uiPriority w:val="99"/>
    <w:semiHidden/>
    <w:unhideWhenUsed/>
    <w:rsid w:val="005E65E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E65EF"/>
    <w:rPr>
      <w:sz w:val="20"/>
      <w:szCs w:val="20"/>
    </w:rPr>
  </w:style>
  <w:style w:type="paragraph" w:styleId="Onderwerpvanopmerking">
    <w:name w:val="annotation subject"/>
    <w:basedOn w:val="Tekstopmerking"/>
    <w:next w:val="Tekstopmerking"/>
    <w:link w:val="OnderwerpvanopmerkingChar"/>
    <w:uiPriority w:val="99"/>
    <w:semiHidden/>
    <w:unhideWhenUsed/>
    <w:rsid w:val="005E65EF"/>
    <w:rPr>
      <w:b/>
      <w:bCs/>
    </w:rPr>
  </w:style>
  <w:style w:type="character" w:customStyle="1" w:styleId="OnderwerpvanopmerkingChar">
    <w:name w:val="Onderwerp van opmerking Char"/>
    <w:basedOn w:val="TekstopmerkingChar"/>
    <w:link w:val="Onderwerpvanopmerking"/>
    <w:uiPriority w:val="99"/>
    <w:semiHidden/>
    <w:rsid w:val="005E65EF"/>
    <w:rPr>
      <w:b/>
      <w:bCs/>
      <w:sz w:val="20"/>
      <w:szCs w:val="20"/>
    </w:rPr>
  </w:style>
  <w:style w:type="paragraph" w:styleId="Ballontekst">
    <w:name w:val="Balloon Text"/>
    <w:basedOn w:val="Standaard"/>
    <w:link w:val="BallontekstChar"/>
    <w:uiPriority w:val="99"/>
    <w:semiHidden/>
    <w:unhideWhenUsed/>
    <w:rsid w:val="005E65E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E65EF"/>
    <w:rPr>
      <w:rFonts w:ascii="Tahoma" w:hAnsi="Tahoma" w:cs="Tahoma"/>
      <w:sz w:val="16"/>
      <w:szCs w:val="16"/>
    </w:rPr>
  </w:style>
  <w:style w:type="paragraph" w:styleId="Revisie">
    <w:name w:val="Revision"/>
    <w:hidden/>
    <w:uiPriority w:val="99"/>
    <w:semiHidden/>
    <w:rsid w:val="00D57C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ype_x0020_doc xmlns="a656deef-f45d-4446-9262-e2558f602abf">-</Type_x0020_do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6FAEB4A6D38042934B474826B39A7A" ma:contentTypeVersion="10" ma:contentTypeDescription="Een nieuw document maken." ma:contentTypeScope="" ma:versionID="02c7d03a2569575ac252104f7b05d091">
  <xsd:schema xmlns:xsd="http://www.w3.org/2001/XMLSchema" xmlns:xs="http://www.w3.org/2001/XMLSchema" xmlns:p="http://schemas.microsoft.com/office/2006/metadata/properties" xmlns:ns2="a656deef-f45d-4446-9262-e2558f602abf" xmlns:ns3="21f81bc0-ece1-4554-b613-aa5fbb887f3c" targetNamespace="http://schemas.microsoft.com/office/2006/metadata/properties" ma:root="true" ma:fieldsID="d6b9cb8c1d62a3b8889857981430f3c8" ns2:_="" ns3:_="">
    <xsd:import namespace="a656deef-f45d-4446-9262-e2558f602abf"/>
    <xsd:import namespace="21f81bc0-ece1-4554-b613-aa5fbb887f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Type_x0020_doc"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6deef-f45d-4446-9262-e2558f602ab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Type_x0020_doc" ma:index="12" nillable="true" ma:displayName="Type doc" ma:default="-" ma:internalName="Type_x0020_doc">
      <xsd:simpleType>
        <xsd:restriction base="dms:Choice">
          <xsd:enumeration value="-"/>
          <xsd:enumeration value="Modeldocument"/>
          <xsd:enumeration value="Sociare nieuwsbericht"/>
          <xsd:enumeration value="FAQ &amp; toelichting"/>
          <xsd:enumeration value="Syllabus"/>
          <xsd:enumeration value="Rechtspraak"/>
          <xsd:enumeration value="Officiële briefwisseling"/>
          <xsd:enumeration value="Parlementaire vraag"/>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f81bc0-ece1-4554-b613-aa5fbb887f3c"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2BAFE0-A35D-4A74-BD0C-D4DC84A6957C}">
  <ds:schemaRefs>
    <ds:schemaRef ds:uri="http://schemas.microsoft.com/sharepoint/v3/contenttype/forms"/>
  </ds:schemaRefs>
</ds:datastoreItem>
</file>

<file path=customXml/itemProps2.xml><?xml version="1.0" encoding="utf-8"?>
<ds:datastoreItem xmlns:ds="http://schemas.openxmlformats.org/officeDocument/2006/customXml" ds:itemID="{6C1E8705-7558-4B27-914E-0FB7EBD7874C}">
  <ds:schemaRefs>
    <ds:schemaRef ds:uri="http://schemas.microsoft.com/office/2006/metadata/properties"/>
    <ds:schemaRef ds:uri="http://schemas.microsoft.com/office/infopath/2007/PartnerControls"/>
    <ds:schemaRef ds:uri="a656deef-f45d-4446-9262-e2558f602abf"/>
  </ds:schemaRefs>
</ds:datastoreItem>
</file>

<file path=customXml/itemProps3.xml><?xml version="1.0" encoding="utf-8"?>
<ds:datastoreItem xmlns:ds="http://schemas.openxmlformats.org/officeDocument/2006/customXml" ds:itemID="{84BE817C-A64B-428C-AE09-66BE37C51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6deef-f45d-4446-9262-e2558f602abf"/>
    <ds:schemaRef ds:uri="21f81bc0-ece1-4554-b613-aa5fbb887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1371</Words>
  <Characters>7545</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Kristien Musch</cp:lastModifiedBy>
  <cp:revision>4</cp:revision>
  <dcterms:created xsi:type="dcterms:W3CDTF">2019-12-11T15:43:00Z</dcterms:created>
  <dcterms:modified xsi:type="dcterms:W3CDTF">2020-03-10T08:08:00Z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0x010100F76FAEB4A6D38042934B474826B39A7A</vt:lpwstr>
  </property>
</Properties>
</file>